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240" w:lineRule="auto"/>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r>
        <w:rPr>
          <w:rFonts w:hint="eastAsia" w:ascii="黑体" w:hAnsi="黑体" w:eastAsia="黑体" w:cs="黑体"/>
          <w:color w:val="000000" w:themeColor="text1"/>
          <w:sz w:val="32"/>
          <w:szCs w:val="32"/>
          <w:lang w:val="en-US" w:eastAsia="zh-CN"/>
        </w:rPr>
        <w:t>4</w:t>
      </w: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pStyle w:val="10"/>
        <w:adjustRightInd w:val="0"/>
        <w:snapToGrid w:val="0"/>
        <w:spacing w:before="0" w:beforeAutospacing="0" w:after="0" w:afterAutospacing="0" w:line="240" w:lineRule="auto"/>
        <w:rPr>
          <w:rFonts w:ascii="楷体" w:hAnsi="楷体" w:eastAsia="楷体"/>
          <w:b/>
          <w:color w:val="000000" w:themeColor="text1"/>
          <w:sz w:val="36"/>
          <w:szCs w:val="36"/>
        </w:rPr>
      </w:pPr>
      <w:r>
        <w:rPr>
          <w:rFonts w:hint="eastAsia" w:hAnsi="微软雅黑" w:cs="微软雅黑"/>
          <w:color w:val="000000" w:themeColor="text1"/>
        </w:rPr>
        <w:t>武汉工商学院外聘教师聘任管理实施办法</w:t>
      </w:r>
      <w:r>
        <w:rPr>
          <w:rFonts w:hint="eastAsia" w:ascii="楷体_GB2312" w:hAnsi="楷体_GB2312" w:eastAsia="楷体_GB2312" w:cs="楷体_GB2312"/>
          <w:b/>
          <w:color w:val="000000" w:themeColor="text1"/>
          <w:sz w:val="36"/>
          <w:szCs w:val="36"/>
        </w:rPr>
        <w:t>（试行）</w:t>
      </w:r>
    </w:p>
    <w:p>
      <w:pPr>
        <w:ind w:firstLine="0" w:firstLineChars="0"/>
      </w:pPr>
    </w:p>
    <w:p>
      <w:pPr>
        <w:adjustRightInd w:val="0"/>
        <w:snapToGrid w:val="0"/>
        <w:spacing w:line="540" w:lineRule="exact"/>
        <w:ind w:firstLine="640"/>
        <w:rPr>
          <w:color w:val="000000" w:themeColor="text1"/>
        </w:rPr>
      </w:pPr>
      <w:r>
        <w:rPr>
          <w:rFonts w:hint="eastAsia"/>
          <w:color w:val="000000" w:themeColor="text1"/>
        </w:rPr>
        <w:t>为进一步规范外聘教师的聘任管理工作，充分发挥其在教学等方面的作用，结合学校实际，特制定本办法。</w:t>
      </w:r>
    </w:p>
    <w:p>
      <w:pPr>
        <w:pStyle w:val="2"/>
        <w:spacing w:line="540" w:lineRule="exact"/>
        <w:rPr>
          <w:color w:val="000000" w:themeColor="text1"/>
        </w:rPr>
      </w:pPr>
      <w:r>
        <w:rPr>
          <w:rFonts w:hint="eastAsia"/>
          <w:color w:val="000000" w:themeColor="text1"/>
        </w:rPr>
        <w:t>一、聘任对象及要求</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（一）高校来源</w:t>
      </w:r>
    </w:p>
    <w:p>
      <w:pPr>
        <w:adjustRightInd w:val="0"/>
        <w:snapToGrid w:val="0"/>
        <w:spacing w:line="540" w:lineRule="exact"/>
        <w:ind w:firstLine="640"/>
        <w:rPr>
          <w:color w:val="000000" w:themeColor="text1"/>
        </w:rPr>
      </w:pPr>
      <w:r>
        <w:rPr>
          <w:rFonts w:hint="eastAsia"/>
          <w:color w:val="000000" w:themeColor="text1"/>
        </w:rPr>
        <w:t>在相关学科领域中有一定学术造诣，原则上具有硕士及以上学历学位且具有高校教师资格证的在职或退休高校教师，中级及以上专业技术职务者优先。原则上男性年龄</w:t>
      </w:r>
      <w:r>
        <w:rPr>
          <w:color w:val="000000" w:themeColor="text1"/>
        </w:rPr>
        <w:t>67</w:t>
      </w:r>
      <w:r>
        <w:rPr>
          <w:rFonts w:hint="eastAsia"/>
          <w:color w:val="000000" w:themeColor="text1"/>
        </w:rPr>
        <w:t>岁以内，女性年龄在6</w:t>
      </w:r>
      <w:r>
        <w:rPr>
          <w:color w:val="000000" w:themeColor="text1"/>
        </w:rPr>
        <w:t>2</w:t>
      </w:r>
      <w:r>
        <w:rPr>
          <w:rFonts w:hint="eastAsia"/>
          <w:color w:val="000000" w:themeColor="text1"/>
        </w:rPr>
        <w:t>岁以内。</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（二）企业来源</w:t>
      </w:r>
    </w:p>
    <w:p>
      <w:pPr>
        <w:adjustRightInd w:val="0"/>
        <w:snapToGrid w:val="0"/>
        <w:spacing w:line="540" w:lineRule="exact"/>
        <w:ind w:firstLine="640"/>
        <w:rPr>
          <w:color w:val="000000" w:themeColor="text1"/>
        </w:rPr>
      </w:pPr>
      <w:r>
        <w:rPr>
          <w:rFonts w:hint="eastAsia"/>
          <w:color w:val="000000" w:themeColor="text1"/>
        </w:rPr>
        <w:t>原则上来自学校实习基地的企业在职人员，实践</w:t>
      </w:r>
      <w:r>
        <w:rPr>
          <w:rFonts w:hint="eastAsia"/>
          <w:color w:val="000000" w:themeColor="text1"/>
          <w:szCs w:val="32"/>
        </w:rPr>
        <w:t>经验较为丰富，具有硕士及以上学位或中级及以上职称（或等同于中级及以上职称的行业资格证书）的技术人员或具有本科及以上学历的企业中高层管理人员。</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（三）其他要求</w:t>
      </w:r>
    </w:p>
    <w:p>
      <w:pPr>
        <w:adjustRightInd w:val="0"/>
        <w:snapToGrid w:val="0"/>
        <w:spacing w:line="540" w:lineRule="exact"/>
        <w:ind w:firstLine="640"/>
        <w:rPr>
          <w:color w:val="000000" w:themeColor="text1"/>
        </w:rPr>
      </w:pPr>
      <w:r>
        <w:rPr>
          <w:rFonts w:hint="eastAsia"/>
          <w:color w:val="000000" w:themeColor="text1"/>
        </w:rPr>
        <w:t>身体健康，有较为充足的精力承担学校安排的教学工作任务。</w:t>
      </w:r>
    </w:p>
    <w:p>
      <w:pPr>
        <w:pStyle w:val="2"/>
        <w:spacing w:line="540" w:lineRule="exact"/>
        <w:rPr>
          <w:color w:val="000000" w:themeColor="text1"/>
        </w:rPr>
      </w:pPr>
      <w:r>
        <w:rPr>
          <w:rFonts w:hint="eastAsia"/>
          <w:color w:val="000000" w:themeColor="text1"/>
        </w:rPr>
        <w:t>二、任务及待遇</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（一）任务</w:t>
      </w:r>
    </w:p>
    <w:p>
      <w:pPr>
        <w:pStyle w:val="21"/>
        <w:adjustRightInd w:val="0"/>
        <w:snapToGrid w:val="0"/>
        <w:spacing w:line="540" w:lineRule="exact"/>
        <w:ind w:firstLine="640"/>
        <w:rPr>
          <w:color w:val="000000" w:themeColor="text1"/>
          <w:szCs w:val="32"/>
        </w:rPr>
      </w:pPr>
      <w:r>
        <w:rPr>
          <w:rFonts w:hint="eastAsia"/>
          <w:color w:val="000000" w:themeColor="text1"/>
        </w:rPr>
        <w:t>完成年度教学工作量6</w:t>
      </w:r>
      <w:r>
        <w:rPr>
          <w:color w:val="000000" w:themeColor="text1"/>
        </w:rPr>
        <w:t>4</w:t>
      </w:r>
      <w:r>
        <w:rPr>
          <w:rFonts w:hint="eastAsia"/>
          <w:color w:val="000000" w:themeColor="text1"/>
        </w:rPr>
        <w:t>学时，主要</w:t>
      </w:r>
      <w:r>
        <w:rPr>
          <w:rFonts w:hint="eastAsia"/>
          <w:color w:val="000000" w:themeColor="text1"/>
          <w:szCs w:val="32"/>
        </w:rPr>
        <w:t>承担一般课程教学，实验、实训、实习及毕业论文（设计）指导等教学工作。</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（二）待遇</w:t>
      </w:r>
    </w:p>
    <w:p>
      <w:pPr>
        <w:widowControl/>
        <w:ind w:firstLine="640"/>
        <w:rPr>
          <w:color w:val="000000" w:themeColor="text1"/>
          <w:szCs w:val="32"/>
        </w:rPr>
      </w:pPr>
      <w:r>
        <w:rPr>
          <w:rFonts w:hint="eastAsia"/>
          <w:color w:val="000000" w:themeColor="text1"/>
          <w:szCs w:val="32"/>
        </w:rPr>
        <w:t>根据《武汉工商学院教学工作量核算办法》（武工商发〔202</w:t>
      </w:r>
      <w:r>
        <w:rPr>
          <w:color w:val="000000" w:themeColor="text1"/>
          <w:szCs w:val="32"/>
        </w:rPr>
        <w:t>3</w:t>
      </w:r>
      <w:r>
        <w:rPr>
          <w:rFonts w:hint="eastAsia"/>
          <w:color w:val="000000" w:themeColor="text1"/>
          <w:szCs w:val="32"/>
        </w:rPr>
        <w:t>〕</w:t>
      </w:r>
      <w:r>
        <w:rPr>
          <w:color w:val="000000" w:themeColor="text1"/>
          <w:szCs w:val="32"/>
        </w:rPr>
        <w:t>58</w:t>
      </w:r>
      <w:r>
        <w:rPr>
          <w:rFonts w:hint="eastAsia"/>
          <w:color w:val="000000" w:themeColor="text1"/>
          <w:szCs w:val="32"/>
        </w:rPr>
        <w:t>号）核算课酬，由教务部制表，报财务部核发。</w:t>
      </w:r>
    </w:p>
    <w:p>
      <w:pPr>
        <w:spacing w:line="520" w:lineRule="exact"/>
        <w:ind w:firstLine="640"/>
        <w:rPr>
          <w:rFonts w:hAnsi="仿宋" w:cs="仿宋_GB2312"/>
          <w:color w:val="000000" w:themeColor="text1"/>
          <w:szCs w:val="32"/>
          <w:lang w:eastAsia="zh-Hans" w:bidi="ar"/>
        </w:rPr>
      </w:pPr>
      <w:r>
        <w:rPr>
          <w:rFonts w:hint="eastAsia" w:hAnsi="仿宋" w:cs="仿宋_GB2312"/>
          <w:color w:val="000000" w:themeColor="text1"/>
          <w:szCs w:val="32"/>
          <w:lang w:bidi="ar"/>
        </w:rPr>
        <w:t>课酬标准：</w:t>
      </w:r>
      <w:r>
        <w:rPr>
          <w:rFonts w:hint="eastAsia" w:hAnsi="仿宋" w:cs="仿宋_GB2312"/>
          <w:color w:val="000000" w:themeColor="text1"/>
          <w:szCs w:val="32"/>
          <w:lang w:eastAsia="zh-Hans" w:bidi="ar"/>
        </w:rPr>
        <w:t>正高级职称的课酬标准160元/课时；副高级职称</w:t>
      </w:r>
      <w:bookmarkStart w:id="0" w:name="_Hlk122267199"/>
      <w:r>
        <w:rPr>
          <w:rFonts w:hint="eastAsia" w:hAnsi="仿宋" w:cs="仿宋_GB2312"/>
          <w:color w:val="000000" w:themeColor="text1"/>
          <w:szCs w:val="32"/>
          <w:lang w:eastAsia="zh-Hans" w:bidi="ar"/>
        </w:rPr>
        <w:t>的课酬</w:t>
      </w:r>
      <w:bookmarkEnd w:id="0"/>
      <w:r>
        <w:rPr>
          <w:rFonts w:hint="eastAsia" w:hAnsi="仿宋" w:cs="仿宋_GB2312"/>
          <w:color w:val="000000" w:themeColor="text1"/>
          <w:szCs w:val="32"/>
          <w:lang w:eastAsia="zh-Hans" w:bidi="ar"/>
        </w:rPr>
        <w:t>标准120元/课时；中级职称的</w:t>
      </w:r>
      <w:bookmarkStart w:id="1" w:name="_Hlk122267285"/>
      <w:r>
        <w:rPr>
          <w:rFonts w:hint="eastAsia" w:hAnsi="仿宋" w:cs="仿宋_GB2312"/>
          <w:color w:val="000000" w:themeColor="text1"/>
          <w:szCs w:val="32"/>
          <w:lang w:eastAsia="zh-Hans" w:bidi="ar"/>
        </w:rPr>
        <w:t>课酬</w:t>
      </w:r>
      <w:bookmarkEnd w:id="1"/>
      <w:r>
        <w:rPr>
          <w:rFonts w:hint="eastAsia" w:hAnsi="仿宋" w:cs="仿宋_GB2312"/>
          <w:color w:val="000000" w:themeColor="text1"/>
          <w:szCs w:val="32"/>
          <w:lang w:eastAsia="zh-Hans" w:bidi="ar"/>
        </w:rPr>
        <w:t>标准100元</w:t>
      </w:r>
      <w:bookmarkStart w:id="2" w:name="_Hlk122267128"/>
      <w:r>
        <w:rPr>
          <w:rFonts w:hint="eastAsia" w:hAnsi="仿宋" w:cs="仿宋_GB2312"/>
          <w:color w:val="000000" w:themeColor="text1"/>
          <w:szCs w:val="32"/>
          <w:lang w:eastAsia="zh-Hans" w:bidi="ar"/>
        </w:rPr>
        <w:t>/</w:t>
      </w:r>
      <w:bookmarkEnd w:id="2"/>
      <w:r>
        <w:rPr>
          <w:rFonts w:hint="eastAsia" w:hAnsi="仿宋" w:cs="仿宋_GB2312"/>
          <w:color w:val="000000" w:themeColor="text1"/>
          <w:szCs w:val="32"/>
          <w:lang w:eastAsia="zh-Hans" w:bidi="ar"/>
        </w:rPr>
        <w:t>课时；</w:t>
      </w:r>
      <w:r>
        <w:rPr>
          <w:rFonts w:hint="eastAsia" w:hAnsi="仿宋" w:cs="仿宋_GB2312"/>
          <w:color w:val="000000" w:themeColor="text1"/>
          <w:szCs w:val="32"/>
          <w:lang w:bidi="ar"/>
        </w:rPr>
        <w:t>初级</w:t>
      </w:r>
      <w:r>
        <w:rPr>
          <w:rFonts w:hint="eastAsia" w:hAnsi="仿宋" w:cs="仿宋_GB2312"/>
          <w:color w:val="000000" w:themeColor="text1"/>
          <w:szCs w:val="32"/>
          <w:lang w:eastAsia="zh-Hans" w:bidi="ar"/>
        </w:rPr>
        <w:t>职称的</w:t>
      </w:r>
      <w:bookmarkStart w:id="3" w:name="_Hlk122267551"/>
      <w:r>
        <w:rPr>
          <w:rFonts w:hint="eastAsia" w:hAnsi="仿宋" w:cs="仿宋_GB2312"/>
          <w:color w:val="000000" w:themeColor="text1"/>
          <w:szCs w:val="32"/>
          <w:lang w:eastAsia="zh-Hans" w:bidi="ar"/>
        </w:rPr>
        <w:t>课酬标准</w:t>
      </w:r>
      <w:bookmarkEnd w:id="3"/>
      <w:r>
        <w:rPr>
          <w:rFonts w:hint="eastAsia" w:hAnsi="仿宋" w:cs="仿宋_GB2312"/>
          <w:color w:val="000000" w:themeColor="text1"/>
          <w:szCs w:val="32"/>
          <w:lang w:eastAsia="zh-Hans" w:bidi="ar"/>
        </w:rPr>
        <w:t>65元/课时</w:t>
      </w:r>
      <w:r>
        <w:rPr>
          <w:rFonts w:hint="eastAsia" w:hAnsi="仿宋" w:cs="仿宋_GB2312"/>
          <w:color w:val="000000" w:themeColor="text1"/>
          <w:szCs w:val="32"/>
          <w:lang w:bidi="ar"/>
        </w:rPr>
        <w:t>；</w:t>
      </w:r>
      <w:r>
        <w:rPr>
          <w:rFonts w:hint="eastAsia" w:hAnsi="仿宋" w:cs="仿宋_GB2312"/>
          <w:color w:val="000000" w:themeColor="text1"/>
          <w:szCs w:val="32"/>
          <w:lang w:eastAsia="zh-Hans" w:bidi="ar"/>
        </w:rPr>
        <w:t>无职称的兼职教师课酬标准50元/课时。</w:t>
      </w:r>
    </w:p>
    <w:p>
      <w:pPr>
        <w:spacing w:line="520" w:lineRule="exact"/>
        <w:ind w:firstLine="640"/>
        <w:rPr>
          <w:rFonts w:hAnsi="仿宋_GB2312" w:cs="仿宋_GB2312"/>
          <w:color w:val="000000" w:themeColor="text1"/>
          <w:szCs w:val="32"/>
          <w:lang w:eastAsia="zh-Hans" w:bidi="ar"/>
        </w:rPr>
      </w:pPr>
      <w:r>
        <w:rPr>
          <w:rFonts w:hint="eastAsia" w:hAnsi="仿宋" w:cs="仿宋_GB2312"/>
          <w:color w:val="000000" w:themeColor="text1"/>
          <w:szCs w:val="32"/>
          <w:lang w:bidi="ar"/>
        </w:rPr>
        <w:t>职称参照：企业</w:t>
      </w:r>
      <w:r>
        <w:rPr>
          <w:rFonts w:hint="eastAsia" w:hAnsi="仿宋_GB2312" w:cs="仿宋_GB2312"/>
          <w:color w:val="000000" w:themeColor="text1"/>
          <w:szCs w:val="32"/>
          <w:lang w:eastAsia="zh-Hans" w:bidi="ar"/>
        </w:rPr>
        <w:t>人员，其职称证书、行业资格证书级别</w:t>
      </w:r>
      <w:r>
        <w:rPr>
          <w:rFonts w:hint="eastAsia" w:hAnsi="仿宋_GB2312" w:cs="仿宋_GB2312"/>
          <w:color w:val="000000" w:themeColor="text1"/>
          <w:szCs w:val="32"/>
          <w:lang w:bidi="ar"/>
        </w:rPr>
        <w:t>、学历或职务</w:t>
      </w:r>
      <w:r>
        <w:rPr>
          <w:rFonts w:hint="eastAsia" w:hAnsi="仿宋_GB2312" w:cs="仿宋_GB2312"/>
          <w:color w:val="000000" w:themeColor="text1"/>
          <w:szCs w:val="32"/>
          <w:lang w:eastAsia="zh-Hans" w:bidi="ar"/>
        </w:rPr>
        <w:t>可以对应参照教师系列职称标准</w:t>
      </w:r>
      <w:r>
        <w:rPr>
          <w:rFonts w:hint="eastAsia" w:hAnsi="仿宋_GB2312" w:cs="仿宋_GB2312"/>
          <w:color w:val="000000" w:themeColor="text1"/>
          <w:szCs w:val="32"/>
          <w:lang w:bidi="ar"/>
        </w:rPr>
        <w:t>（见表1）</w:t>
      </w:r>
      <w:r>
        <w:rPr>
          <w:rFonts w:hint="eastAsia" w:hAnsi="仿宋_GB2312" w:cs="仿宋_GB2312"/>
          <w:color w:val="000000" w:themeColor="text1"/>
          <w:szCs w:val="32"/>
          <w:lang w:eastAsia="zh-Hans" w:bidi="ar"/>
        </w:rPr>
        <w:t>。</w:t>
      </w:r>
    </w:p>
    <w:p>
      <w:pPr>
        <w:spacing w:line="520" w:lineRule="exact"/>
        <w:ind w:firstLine="420"/>
        <w:jc w:val="center"/>
        <w:rPr>
          <w:rFonts w:ascii="黑体" w:hAnsi="黑体" w:eastAsia="黑体" w:cs="仿宋_GB2312"/>
          <w:color w:val="000000" w:themeColor="text1"/>
          <w:sz w:val="21"/>
          <w:szCs w:val="21"/>
          <w:lang w:eastAsia="zh-Hans" w:bidi="ar"/>
        </w:rPr>
      </w:pPr>
      <w:r>
        <w:rPr>
          <w:rFonts w:hint="eastAsia" w:ascii="黑体" w:hAnsi="黑体" w:eastAsia="黑体" w:cs="仿宋_GB2312"/>
          <w:color w:val="000000" w:themeColor="text1"/>
          <w:sz w:val="21"/>
          <w:szCs w:val="21"/>
          <w:lang w:eastAsia="zh-Hans" w:bidi="ar"/>
        </w:rPr>
        <w:t>表1 非教师系列职称对应课酬标准参照表</w:t>
      </w:r>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1244"/>
        <w:gridCol w:w="1354"/>
        <w:gridCol w:w="1460"/>
        <w:gridCol w:w="91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61" w:type="dxa"/>
          </w:tcPr>
          <w:p>
            <w:pPr>
              <w:spacing w:line="520" w:lineRule="exact"/>
              <w:ind w:firstLine="0" w:firstLineChars="0"/>
              <w:jc w:val="center"/>
              <w:rPr>
                <w:rFonts w:cs="仿宋_GB2312" w:asciiTheme="minorEastAsia" w:hAnsiTheme="minorEastAsia" w:eastAsiaTheme="minorEastAsia"/>
                <w:bCs/>
                <w:color w:val="000000" w:themeColor="text1"/>
                <w:sz w:val="24"/>
                <w:szCs w:val="24"/>
                <w:lang w:eastAsia="zh-Hans" w:bidi="ar"/>
              </w:rPr>
            </w:pPr>
            <w:r>
              <w:rPr>
                <w:rFonts w:hint="eastAsia" w:cs="仿宋_GB2312" w:asciiTheme="minorEastAsia" w:hAnsiTheme="minorEastAsia" w:eastAsiaTheme="minorEastAsia"/>
                <w:bCs/>
                <w:color w:val="000000" w:themeColor="text1"/>
                <w:sz w:val="24"/>
                <w:szCs w:val="24"/>
                <w:lang w:eastAsia="zh-Hans" w:bidi="ar"/>
              </w:rPr>
              <w:t>教师系列职称</w:t>
            </w:r>
          </w:p>
        </w:tc>
        <w:tc>
          <w:tcPr>
            <w:tcW w:w="1244" w:type="dxa"/>
          </w:tcPr>
          <w:p>
            <w:pPr>
              <w:spacing w:line="520" w:lineRule="exact"/>
              <w:ind w:firstLine="0" w:firstLineChars="0"/>
              <w:jc w:val="center"/>
              <w:rPr>
                <w:rFonts w:cs="仿宋_GB2312" w:asciiTheme="minorEastAsia" w:hAnsiTheme="minorEastAsia" w:eastAsiaTheme="minorEastAsia"/>
                <w:bCs/>
                <w:color w:val="000000" w:themeColor="text1"/>
                <w:sz w:val="24"/>
                <w:szCs w:val="24"/>
                <w:lang w:eastAsia="zh-Hans" w:bidi="ar"/>
              </w:rPr>
            </w:pPr>
            <w:r>
              <w:rPr>
                <w:rFonts w:hint="eastAsia" w:cs="仿宋_GB2312" w:asciiTheme="minorEastAsia" w:hAnsiTheme="minorEastAsia" w:eastAsiaTheme="minorEastAsia"/>
                <w:bCs/>
                <w:color w:val="000000" w:themeColor="text1"/>
                <w:sz w:val="24"/>
                <w:szCs w:val="24"/>
                <w:lang w:eastAsia="zh-Hans" w:bidi="ar"/>
              </w:rPr>
              <w:t>教授</w:t>
            </w:r>
          </w:p>
        </w:tc>
        <w:tc>
          <w:tcPr>
            <w:tcW w:w="1354" w:type="dxa"/>
          </w:tcPr>
          <w:p>
            <w:pPr>
              <w:spacing w:line="520" w:lineRule="exact"/>
              <w:ind w:firstLine="0" w:firstLineChars="0"/>
              <w:jc w:val="center"/>
              <w:rPr>
                <w:rFonts w:cs="仿宋_GB2312" w:asciiTheme="minorEastAsia" w:hAnsiTheme="minorEastAsia" w:eastAsiaTheme="minorEastAsia"/>
                <w:bCs/>
                <w:color w:val="000000" w:themeColor="text1"/>
                <w:sz w:val="24"/>
                <w:szCs w:val="24"/>
                <w:lang w:eastAsia="zh-Hans" w:bidi="ar"/>
              </w:rPr>
            </w:pPr>
            <w:r>
              <w:rPr>
                <w:rFonts w:hint="eastAsia" w:cs="仿宋_GB2312" w:asciiTheme="minorEastAsia" w:hAnsiTheme="minorEastAsia" w:eastAsiaTheme="minorEastAsia"/>
                <w:bCs/>
                <w:color w:val="000000" w:themeColor="text1"/>
                <w:sz w:val="24"/>
                <w:szCs w:val="24"/>
                <w:lang w:eastAsia="zh-Hans" w:bidi="ar"/>
              </w:rPr>
              <w:t>副教授</w:t>
            </w:r>
          </w:p>
        </w:tc>
        <w:tc>
          <w:tcPr>
            <w:tcW w:w="1460" w:type="dxa"/>
          </w:tcPr>
          <w:p>
            <w:pPr>
              <w:spacing w:line="520" w:lineRule="exact"/>
              <w:ind w:firstLine="0" w:firstLineChars="0"/>
              <w:jc w:val="center"/>
              <w:rPr>
                <w:rFonts w:cs="仿宋_GB2312" w:asciiTheme="minorEastAsia" w:hAnsiTheme="minorEastAsia" w:eastAsiaTheme="minorEastAsia"/>
                <w:bCs/>
                <w:color w:val="000000" w:themeColor="text1"/>
                <w:sz w:val="24"/>
                <w:szCs w:val="24"/>
                <w:lang w:eastAsia="zh-Hans" w:bidi="ar"/>
              </w:rPr>
            </w:pPr>
            <w:r>
              <w:rPr>
                <w:rFonts w:hint="eastAsia" w:cs="仿宋_GB2312" w:asciiTheme="minorEastAsia" w:hAnsiTheme="minorEastAsia" w:eastAsiaTheme="minorEastAsia"/>
                <w:bCs/>
                <w:color w:val="000000" w:themeColor="text1"/>
                <w:sz w:val="24"/>
                <w:szCs w:val="24"/>
                <w:lang w:eastAsia="zh-Hans" w:bidi="ar"/>
              </w:rPr>
              <w:t>讲师</w:t>
            </w:r>
          </w:p>
        </w:tc>
        <w:tc>
          <w:tcPr>
            <w:tcW w:w="919" w:type="dxa"/>
          </w:tcPr>
          <w:p>
            <w:pPr>
              <w:spacing w:line="520" w:lineRule="exact"/>
              <w:ind w:firstLine="0" w:firstLineChars="0"/>
              <w:jc w:val="center"/>
              <w:rPr>
                <w:rFonts w:cs="仿宋_GB2312" w:asciiTheme="minorEastAsia" w:hAnsiTheme="minorEastAsia" w:eastAsiaTheme="minorEastAsia"/>
                <w:bCs/>
                <w:color w:val="000000" w:themeColor="text1"/>
                <w:sz w:val="24"/>
                <w:szCs w:val="24"/>
                <w:lang w:eastAsia="zh-Hans" w:bidi="ar"/>
              </w:rPr>
            </w:pPr>
            <w:r>
              <w:rPr>
                <w:rFonts w:hint="eastAsia" w:cs="仿宋_GB2312" w:asciiTheme="minorEastAsia" w:hAnsiTheme="minorEastAsia" w:eastAsiaTheme="minorEastAsia"/>
                <w:bCs/>
                <w:color w:val="000000" w:themeColor="text1"/>
                <w:sz w:val="24"/>
                <w:szCs w:val="24"/>
                <w:lang w:eastAsia="zh-Hans" w:bidi="ar"/>
              </w:rPr>
              <w:t>助教</w:t>
            </w:r>
          </w:p>
        </w:tc>
        <w:tc>
          <w:tcPr>
            <w:tcW w:w="1065" w:type="dxa"/>
          </w:tcPr>
          <w:p>
            <w:pPr>
              <w:spacing w:line="520" w:lineRule="exact"/>
              <w:ind w:firstLine="0" w:firstLineChars="0"/>
              <w:jc w:val="center"/>
              <w:rPr>
                <w:rFonts w:cs="仿宋_GB2312" w:asciiTheme="minorEastAsia" w:hAnsiTheme="minorEastAsia" w:eastAsiaTheme="minorEastAsia"/>
                <w:bCs/>
                <w:color w:val="000000" w:themeColor="text1"/>
                <w:sz w:val="24"/>
                <w:szCs w:val="24"/>
                <w:lang w:eastAsia="zh-Hans" w:bidi="ar"/>
              </w:rPr>
            </w:pPr>
            <w:r>
              <w:rPr>
                <w:rFonts w:hint="eastAsia" w:cs="仿宋_GB2312" w:asciiTheme="minorEastAsia" w:hAnsiTheme="minorEastAsia" w:eastAsiaTheme="minorEastAsia"/>
                <w:bCs/>
                <w:color w:val="000000" w:themeColor="text1"/>
                <w:sz w:val="24"/>
                <w:szCs w:val="24"/>
                <w:lang w:eastAsia="zh-Hans" w:bidi="ar"/>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61"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非教师系列职称</w:t>
            </w:r>
          </w:p>
        </w:tc>
        <w:tc>
          <w:tcPr>
            <w:tcW w:w="124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正高级</w:t>
            </w:r>
          </w:p>
        </w:tc>
        <w:tc>
          <w:tcPr>
            <w:tcW w:w="135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高级</w:t>
            </w:r>
          </w:p>
        </w:tc>
        <w:tc>
          <w:tcPr>
            <w:tcW w:w="1460"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中级</w:t>
            </w:r>
          </w:p>
        </w:tc>
        <w:tc>
          <w:tcPr>
            <w:tcW w:w="919"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bidi="ar"/>
              </w:rPr>
              <w:t>初级</w:t>
            </w:r>
          </w:p>
        </w:tc>
        <w:tc>
          <w:tcPr>
            <w:tcW w:w="1065"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61"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行业资格</w:t>
            </w:r>
          </w:p>
        </w:tc>
        <w:tc>
          <w:tcPr>
            <w:tcW w:w="1244" w:type="dxa"/>
          </w:tcPr>
          <w:p>
            <w:pPr>
              <w:spacing w:line="520" w:lineRule="exact"/>
              <w:ind w:firstLine="0" w:firstLineChars="0"/>
              <w:rPr>
                <w:rFonts w:cs="仿宋_GB2312" w:asciiTheme="minorEastAsia" w:hAnsiTheme="minorEastAsia" w:eastAsiaTheme="minorEastAsia"/>
                <w:color w:val="000000" w:themeColor="text1"/>
                <w:sz w:val="24"/>
                <w:szCs w:val="24"/>
                <w:lang w:eastAsia="zh-Hans" w:bidi="ar"/>
              </w:rPr>
            </w:pPr>
          </w:p>
        </w:tc>
        <w:tc>
          <w:tcPr>
            <w:tcW w:w="135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高级</w:t>
            </w:r>
          </w:p>
        </w:tc>
        <w:tc>
          <w:tcPr>
            <w:tcW w:w="1460"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中级</w:t>
            </w:r>
          </w:p>
        </w:tc>
        <w:tc>
          <w:tcPr>
            <w:tcW w:w="919"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bidi="ar"/>
              </w:rPr>
              <w:t>初级</w:t>
            </w:r>
          </w:p>
        </w:tc>
        <w:tc>
          <w:tcPr>
            <w:tcW w:w="1065"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61"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学历</w:t>
            </w:r>
          </w:p>
        </w:tc>
        <w:tc>
          <w:tcPr>
            <w:tcW w:w="124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c>
          <w:tcPr>
            <w:tcW w:w="135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博士</w:t>
            </w:r>
          </w:p>
        </w:tc>
        <w:tc>
          <w:tcPr>
            <w:tcW w:w="1460"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硕士</w:t>
            </w:r>
          </w:p>
        </w:tc>
        <w:tc>
          <w:tcPr>
            <w:tcW w:w="919"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c>
          <w:tcPr>
            <w:tcW w:w="1065"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eastAsia="zh-Hans" w:bidi="ar"/>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61"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bidi="ar"/>
              </w:rPr>
              <w:t>职务</w:t>
            </w:r>
          </w:p>
        </w:tc>
        <w:tc>
          <w:tcPr>
            <w:tcW w:w="124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c>
          <w:tcPr>
            <w:tcW w:w="1354"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bidi="ar"/>
              </w:rPr>
              <w:t>企业高层</w:t>
            </w:r>
          </w:p>
        </w:tc>
        <w:tc>
          <w:tcPr>
            <w:tcW w:w="1460"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r>
              <w:rPr>
                <w:rFonts w:hint="eastAsia" w:cs="仿宋_GB2312" w:asciiTheme="minorEastAsia" w:hAnsiTheme="minorEastAsia" w:eastAsiaTheme="minorEastAsia"/>
                <w:color w:val="000000" w:themeColor="text1"/>
                <w:sz w:val="24"/>
                <w:szCs w:val="24"/>
                <w:lang w:bidi="ar"/>
              </w:rPr>
              <w:t>企业中层</w:t>
            </w:r>
          </w:p>
        </w:tc>
        <w:tc>
          <w:tcPr>
            <w:tcW w:w="919"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c>
          <w:tcPr>
            <w:tcW w:w="1065" w:type="dxa"/>
          </w:tcPr>
          <w:p>
            <w:pPr>
              <w:spacing w:line="520" w:lineRule="exact"/>
              <w:ind w:firstLine="0" w:firstLineChars="0"/>
              <w:jc w:val="center"/>
              <w:rPr>
                <w:rFonts w:cs="仿宋_GB2312" w:asciiTheme="minorEastAsia" w:hAnsiTheme="minorEastAsia" w:eastAsiaTheme="minorEastAsia"/>
                <w:color w:val="000000" w:themeColor="text1"/>
                <w:sz w:val="24"/>
                <w:szCs w:val="24"/>
                <w:lang w:eastAsia="zh-Hans" w:bidi="ar"/>
              </w:rPr>
            </w:pPr>
          </w:p>
        </w:tc>
      </w:tr>
    </w:tbl>
    <w:p>
      <w:pPr>
        <w:pStyle w:val="2"/>
        <w:spacing w:line="540" w:lineRule="exact"/>
        <w:rPr>
          <w:color w:val="000000" w:themeColor="text1"/>
        </w:rPr>
      </w:pPr>
      <w:r>
        <w:rPr>
          <w:rFonts w:hint="eastAsia"/>
          <w:color w:val="000000" w:themeColor="text1"/>
        </w:rPr>
        <w:t>三、聘任管理</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（一）聘任程序</w:t>
      </w:r>
    </w:p>
    <w:p>
      <w:pPr>
        <w:pStyle w:val="21"/>
        <w:adjustRightInd w:val="0"/>
        <w:snapToGrid w:val="0"/>
        <w:spacing w:line="540" w:lineRule="exact"/>
        <w:ind w:firstLine="640"/>
        <w:rPr>
          <w:color w:val="000000" w:themeColor="text1"/>
        </w:rPr>
      </w:pPr>
      <w:r>
        <w:rPr>
          <w:rFonts w:hint="eastAsia"/>
          <w:color w:val="000000" w:themeColor="text1"/>
        </w:rPr>
        <w:t>1</w:t>
      </w:r>
      <w:r>
        <w:rPr>
          <w:color w:val="000000" w:themeColor="text1"/>
        </w:rPr>
        <w:t>.</w:t>
      </w:r>
      <w:r>
        <w:rPr>
          <w:rFonts w:hint="eastAsia"/>
          <w:color w:val="000000" w:themeColor="text1"/>
        </w:rPr>
        <w:t>各二级学院根据专业建设需要和聘任条件，提前一学期物色拟聘人选，在人事系统录入拟聘人员信息，并上传相关证书、证件、证明（身份证、学历学位、职称、高校教师资格证、行业</w:t>
      </w:r>
      <w:r>
        <w:rPr>
          <w:rFonts w:hint="eastAsia"/>
          <w:color w:val="000000" w:themeColor="text1"/>
          <w:szCs w:val="32"/>
        </w:rPr>
        <w:t>中级及以上职称或行业资格证书复印件，企业人员还需提供工作证明、职务证明</w:t>
      </w:r>
      <w:r>
        <w:rPr>
          <w:rFonts w:hint="eastAsia"/>
          <w:color w:val="000000" w:themeColor="text1"/>
        </w:rPr>
        <w:t>）等材料。</w:t>
      </w:r>
    </w:p>
    <w:p>
      <w:pPr>
        <w:adjustRightInd w:val="0"/>
        <w:snapToGrid w:val="0"/>
        <w:spacing w:line="540" w:lineRule="exact"/>
        <w:ind w:firstLine="640"/>
        <w:rPr>
          <w:color w:val="000000" w:themeColor="text1"/>
        </w:rPr>
      </w:pPr>
      <w:r>
        <w:rPr>
          <w:color w:val="000000" w:themeColor="text1"/>
        </w:rPr>
        <w:t>2</w:t>
      </w:r>
      <w:r>
        <w:rPr>
          <w:rFonts w:hint="eastAsia"/>
          <w:color w:val="000000" w:themeColor="text1"/>
        </w:rPr>
        <w:t>.人力资源部在人事系统上对拟聘人员进行资格审查，资格审查不合格予以退回；审查合格者，组织学院与外聘教师签订聘任合同书，</w:t>
      </w:r>
    </w:p>
    <w:p>
      <w:pPr>
        <w:adjustRightInd w:val="0"/>
        <w:snapToGrid w:val="0"/>
        <w:spacing w:line="540" w:lineRule="exact"/>
        <w:ind w:firstLine="640"/>
        <w:rPr>
          <w:color w:val="000000" w:themeColor="text1"/>
        </w:rPr>
      </w:pPr>
      <w:r>
        <w:rPr>
          <w:color w:val="000000" w:themeColor="text1"/>
        </w:rPr>
        <w:t>3.</w:t>
      </w:r>
      <w:r>
        <w:rPr>
          <w:rFonts w:hint="eastAsia"/>
          <w:color w:val="000000" w:themeColor="text1"/>
        </w:rPr>
        <w:t>二级学院负责具体落实外聘教师的年度教学工作的安排，并督促外聘教师完成年度教学任务。教务部复核和统筹教学工作安排。</w:t>
      </w:r>
    </w:p>
    <w:p>
      <w:pPr>
        <w:adjustRightInd w:val="0"/>
        <w:snapToGrid w:val="0"/>
        <w:spacing w:line="540" w:lineRule="exact"/>
        <w:ind w:firstLine="640"/>
        <w:rPr>
          <w:color w:val="000000" w:themeColor="text1"/>
        </w:rPr>
      </w:pPr>
      <w:r>
        <w:rPr>
          <w:rFonts w:hint="eastAsia"/>
          <w:color w:val="000000" w:themeColor="text1"/>
        </w:rPr>
        <w:t>4</w:t>
      </w:r>
      <w:r>
        <w:rPr>
          <w:color w:val="000000" w:themeColor="text1"/>
        </w:rPr>
        <w:t>.</w:t>
      </w:r>
      <w:r>
        <w:rPr>
          <w:rFonts w:hint="eastAsia"/>
          <w:color w:val="000000" w:themeColor="text1"/>
        </w:rPr>
        <w:t>二级学院做好已聘外聘教师的纸质资料的建档和管理工作，对离职外聘教师，需及时出具书面报告报人力资源部，人力资源部在系统进行离职处理。</w:t>
      </w:r>
    </w:p>
    <w:p>
      <w:pPr>
        <w:pStyle w:val="21"/>
        <w:adjustRightInd w:val="0"/>
        <w:snapToGrid w:val="0"/>
        <w:spacing w:line="540" w:lineRule="exact"/>
        <w:ind w:firstLine="643"/>
        <w:rPr>
          <w:rFonts w:hint="eastAsia" w:ascii="楷体_GB2312" w:hAnsi="楷体_GB2312" w:eastAsia="楷体_GB2312" w:cs="楷体_GB2312"/>
          <w:b/>
          <w:color w:val="000000" w:themeColor="text1"/>
        </w:rPr>
      </w:pPr>
      <w:r>
        <w:rPr>
          <w:rFonts w:hint="eastAsia" w:ascii="楷体_GB2312" w:hAnsi="楷体_GB2312" w:eastAsia="楷体_GB2312" w:cs="楷体_GB2312"/>
          <w:b/>
          <w:color w:val="000000" w:themeColor="text1"/>
        </w:rPr>
        <w:t>（二）聘期及考核</w:t>
      </w:r>
    </w:p>
    <w:p>
      <w:pPr>
        <w:adjustRightInd w:val="0"/>
        <w:snapToGrid w:val="0"/>
        <w:spacing w:line="540" w:lineRule="exact"/>
        <w:ind w:firstLine="640"/>
        <w:rPr>
          <w:b/>
          <w:color w:val="000000" w:themeColor="text1"/>
        </w:rPr>
      </w:pPr>
      <w:r>
        <w:rPr>
          <w:rFonts w:hint="eastAsia"/>
          <w:color w:val="000000" w:themeColor="text1"/>
        </w:rPr>
        <w:t>外聘教师聘期为三年，实行年度考核，主要对承担的教学工作量完成情况进行考核，教务部负责审核年度教学任务完成情况，并出具具体意见。连续两年不合格，不再予以聘任。</w:t>
      </w:r>
    </w:p>
    <w:p>
      <w:pPr>
        <w:pStyle w:val="2"/>
        <w:spacing w:line="540" w:lineRule="exact"/>
        <w:rPr>
          <w:color w:val="000000" w:themeColor="text1"/>
        </w:rPr>
      </w:pPr>
      <w:r>
        <w:rPr>
          <w:rFonts w:hint="eastAsia"/>
          <w:color w:val="000000" w:themeColor="text1"/>
        </w:rPr>
        <w:t>四、附则</w:t>
      </w:r>
    </w:p>
    <w:p>
      <w:pPr>
        <w:adjustRightInd w:val="0"/>
        <w:snapToGrid w:val="0"/>
        <w:spacing w:line="540" w:lineRule="exact"/>
        <w:ind w:firstLine="640"/>
        <w:rPr>
          <w:color w:val="000000" w:themeColor="text1"/>
        </w:rPr>
      </w:pPr>
      <w:r>
        <w:rPr>
          <w:rFonts w:hint="eastAsia"/>
          <w:color w:val="000000" w:themeColor="text1"/>
        </w:rPr>
        <w:t>1</w:t>
      </w:r>
      <w:r>
        <w:rPr>
          <w:color w:val="000000" w:themeColor="text1"/>
        </w:rPr>
        <w:t>.</w:t>
      </w:r>
      <w:r>
        <w:rPr>
          <w:rFonts w:hint="eastAsia"/>
          <w:color w:val="000000" w:themeColor="text1"/>
        </w:rPr>
        <w:t>本办法发布之前已聘任的外聘教师依据原办法、协议和任务书执行。</w:t>
      </w:r>
    </w:p>
    <w:p>
      <w:pPr>
        <w:adjustRightInd w:val="0"/>
        <w:snapToGrid w:val="0"/>
        <w:spacing w:line="540" w:lineRule="exact"/>
        <w:ind w:firstLine="640"/>
        <w:rPr>
          <w:color w:val="000000" w:themeColor="text1"/>
        </w:rPr>
      </w:pPr>
      <w:r>
        <w:rPr>
          <w:rFonts w:hint="eastAsia"/>
          <w:color w:val="000000" w:themeColor="text1"/>
        </w:rPr>
        <w:t>2</w:t>
      </w:r>
      <w:r>
        <w:rPr>
          <w:color w:val="000000" w:themeColor="text1"/>
        </w:rPr>
        <w:t>.</w:t>
      </w:r>
      <w:r>
        <w:rPr>
          <w:rFonts w:hint="eastAsia"/>
          <w:color w:val="000000" w:themeColor="text1"/>
        </w:rPr>
        <w:t>现有企业导师符合基本条件者，按照本办法进行聘任和管理，任务、待遇按照本办法执行，不符合基本条件者不再续聘。</w:t>
      </w:r>
    </w:p>
    <w:p>
      <w:pPr>
        <w:adjustRightInd w:val="0"/>
        <w:snapToGrid w:val="0"/>
        <w:spacing w:line="540" w:lineRule="exact"/>
        <w:ind w:firstLine="640"/>
        <w:rPr>
          <w:color w:val="000000" w:themeColor="text1"/>
        </w:rPr>
      </w:pPr>
      <w:r>
        <w:rPr>
          <w:color w:val="000000" w:themeColor="text1"/>
        </w:rPr>
        <w:t>3.</w:t>
      </w:r>
      <w:r>
        <w:rPr>
          <w:rFonts w:hint="eastAsia"/>
          <w:color w:val="000000" w:themeColor="text1"/>
        </w:rPr>
        <w:t>本办法由人力资源部、教务部、财务部负责解释，自发布之日起施行。原《武汉工商学院本科生校外企业导师聘任及管理办法》（武工商发</w:t>
      </w:r>
      <w:r>
        <w:rPr>
          <w:rFonts w:hint="eastAsia"/>
          <w:color w:val="000000" w:themeColor="text1"/>
          <w:lang w:eastAsia="zh-CN"/>
        </w:rPr>
        <w:t>〔</w:t>
      </w:r>
      <w:r>
        <w:rPr>
          <w:color w:val="000000" w:themeColor="text1"/>
        </w:rPr>
        <w:t>2015</w:t>
      </w:r>
      <w:r>
        <w:rPr>
          <w:rFonts w:hint="eastAsia"/>
          <w:color w:val="000000" w:themeColor="text1"/>
          <w:lang w:eastAsia="zh-CN"/>
        </w:rPr>
        <w:t>〕</w:t>
      </w:r>
      <w:r>
        <w:rPr>
          <w:color w:val="000000" w:themeColor="text1"/>
        </w:rPr>
        <w:t>16号</w:t>
      </w:r>
      <w:r>
        <w:rPr>
          <w:rFonts w:hint="eastAsia"/>
          <w:color w:val="000000" w:themeColor="text1"/>
        </w:rPr>
        <w:t>）、《武汉工商学院兼职教师管理办法》（校教务〔2</w:t>
      </w:r>
      <w:r>
        <w:rPr>
          <w:color w:val="000000" w:themeColor="text1"/>
        </w:rPr>
        <w:t>014</w:t>
      </w:r>
      <w:r>
        <w:rPr>
          <w:rFonts w:hint="eastAsia"/>
          <w:color w:val="000000" w:themeColor="text1"/>
        </w:rPr>
        <w:t>〕4</w:t>
      </w:r>
      <w:r>
        <w:rPr>
          <w:color w:val="000000" w:themeColor="text1"/>
        </w:rPr>
        <w:t>0</w:t>
      </w:r>
      <w:r>
        <w:rPr>
          <w:rFonts w:hint="eastAsia"/>
          <w:color w:val="000000" w:themeColor="text1"/>
        </w:rPr>
        <w:t>号）废止。</w:t>
      </w:r>
    </w:p>
    <w:p>
      <w:pPr>
        <w:adjustRightInd w:val="0"/>
        <w:snapToGrid w:val="0"/>
        <w:spacing w:line="540" w:lineRule="exact"/>
        <w:ind w:firstLine="640"/>
        <w:rPr>
          <w:color w:val="000000" w:themeColor="text1"/>
        </w:rPr>
      </w:pPr>
    </w:p>
    <w:p>
      <w:pPr>
        <w:adjustRightInd w:val="0"/>
        <w:snapToGrid w:val="0"/>
        <w:spacing w:line="540" w:lineRule="exact"/>
        <w:ind w:firstLine="640"/>
        <w:rPr>
          <w:color w:val="000000" w:themeColor="text1"/>
        </w:rPr>
      </w:pPr>
      <w:r>
        <w:rPr>
          <w:rFonts w:hint="eastAsia"/>
          <w:color w:val="000000" w:themeColor="text1"/>
        </w:rPr>
        <w:t>附件：武汉工商学院外聘教师聘任合同书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GFmODM2MzFhZmY1NTkzZWIyOGExYmNjOTYzODM4YmYifQ=="/>
    <w:docVar w:name="KGWebUrl" w:val="https://oa.wtbu.edu.cn/seeyon/officeservlet"/>
  </w:docVars>
  <w:rsids>
    <w:rsidRoot w:val="00095554"/>
    <w:rsid w:val="0000132A"/>
    <w:rsid w:val="0000206A"/>
    <w:rsid w:val="00003BF6"/>
    <w:rsid w:val="000355A0"/>
    <w:rsid w:val="00051133"/>
    <w:rsid w:val="00062A1C"/>
    <w:rsid w:val="00067023"/>
    <w:rsid w:val="00071CF4"/>
    <w:rsid w:val="0007224C"/>
    <w:rsid w:val="00095554"/>
    <w:rsid w:val="000A4D3E"/>
    <w:rsid w:val="000B3D90"/>
    <w:rsid w:val="000D2704"/>
    <w:rsid w:val="00102FB6"/>
    <w:rsid w:val="00103328"/>
    <w:rsid w:val="00122C2E"/>
    <w:rsid w:val="00126476"/>
    <w:rsid w:val="00140E67"/>
    <w:rsid w:val="00141742"/>
    <w:rsid w:val="00157EC9"/>
    <w:rsid w:val="0016153E"/>
    <w:rsid w:val="001664AA"/>
    <w:rsid w:val="00166775"/>
    <w:rsid w:val="00177F06"/>
    <w:rsid w:val="00180019"/>
    <w:rsid w:val="0019238B"/>
    <w:rsid w:val="001926D7"/>
    <w:rsid w:val="001927E5"/>
    <w:rsid w:val="00193975"/>
    <w:rsid w:val="00194AE9"/>
    <w:rsid w:val="00197FFC"/>
    <w:rsid w:val="001B13C6"/>
    <w:rsid w:val="001C216C"/>
    <w:rsid w:val="001D53AA"/>
    <w:rsid w:val="001E69DC"/>
    <w:rsid w:val="00200DB8"/>
    <w:rsid w:val="00210800"/>
    <w:rsid w:val="00217032"/>
    <w:rsid w:val="0022281B"/>
    <w:rsid w:val="00226755"/>
    <w:rsid w:val="002267E8"/>
    <w:rsid w:val="00242833"/>
    <w:rsid w:val="00247156"/>
    <w:rsid w:val="00255B4F"/>
    <w:rsid w:val="002668F3"/>
    <w:rsid w:val="0028634A"/>
    <w:rsid w:val="002876AE"/>
    <w:rsid w:val="00293C43"/>
    <w:rsid w:val="002A0D5F"/>
    <w:rsid w:val="002A6941"/>
    <w:rsid w:val="002A6C43"/>
    <w:rsid w:val="002B070A"/>
    <w:rsid w:val="002C3861"/>
    <w:rsid w:val="002C3E05"/>
    <w:rsid w:val="002D2869"/>
    <w:rsid w:val="002D3C94"/>
    <w:rsid w:val="002F05A5"/>
    <w:rsid w:val="002F4127"/>
    <w:rsid w:val="00334844"/>
    <w:rsid w:val="00345FF0"/>
    <w:rsid w:val="00364B3C"/>
    <w:rsid w:val="0036669B"/>
    <w:rsid w:val="00380E1E"/>
    <w:rsid w:val="003963E0"/>
    <w:rsid w:val="003966D4"/>
    <w:rsid w:val="003B7865"/>
    <w:rsid w:val="003C60BE"/>
    <w:rsid w:val="00425180"/>
    <w:rsid w:val="0042794E"/>
    <w:rsid w:val="00437E6D"/>
    <w:rsid w:val="00440C3B"/>
    <w:rsid w:val="00443AB7"/>
    <w:rsid w:val="00451EE3"/>
    <w:rsid w:val="004668F7"/>
    <w:rsid w:val="004670F1"/>
    <w:rsid w:val="004722CA"/>
    <w:rsid w:val="004A0C63"/>
    <w:rsid w:val="004C0D8C"/>
    <w:rsid w:val="004C1671"/>
    <w:rsid w:val="004E314D"/>
    <w:rsid w:val="004E5DB6"/>
    <w:rsid w:val="004F7D49"/>
    <w:rsid w:val="005016FC"/>
    <w:rsid w:val="0053031C"/>
    <w:rsid w:val="00530F3B"/>
    <w:rsid w:val="005402B1"/>
    <w:rsid w:val="00543380"/>
    <w:rsid w:val="005537CA"/>
    <w:rsid w:val="00562FB2"/>
    <w:rsid w:val="00571E45"/>
    <w:rsid w:val="0057343D"/>
    <w:rsid w:val="00587EFC"/>
    <w:rsid w:val="005B12FE"/>
    <w:rsid w:val="005B295B"/>
    <w:rsid w:val="005C09E6"/>
    <w:rsid w:val="005C4083"/>
    <w:rsid w:val="005D0488"/>
    <w:rsid w:val="005E1DB7"/>
    <w:rsid w:val="005E1EA7"/>
    <w:rsid w:val="006144AB"/>
    <w:rsid w:val="006203C3"/>
    <w:rsid w:val="00641CB3"/>
    <w:rsid w:val="00651E47"/>
    <w:rsid w:val="00665DB4"/>
    <w:rsid w:val="00672644"/>
    <w:rsid w:val="00685AEF"/>
    <w:rsid w:val="006A109C"/>
    <w:rsid w:val="006B45BF"/>
    <w:rsid w:val="006B5D1F"/>
    <w:rsid w:val="006B6D38"/>
    <w:rsid w:val="006C09F7"/>
    <w:rsid w:val="006C4668"/>
    <w:rsid w:val="00723B78"/>
    <w:rsid w:val="00727BA1"/>
    <w:rsid w:val="00733EAC"/>
    <w:rsid w:val="00735491"/>
    <w:rsid w:val="007A515D"/>
    <w:rsid w:val="007A6CF4"/>
    <w:rsid w:val="007A73B0"/>
    <w:rsid w:val="007B00BF"/>
    <w:rsid w:val="007B31B9"/>
    <w:rsid w:val="007C1941"/>
    <w:rsid w:val="007D602A"/>
    <w:rsid w:val="007E036C"/>
    <w:rsid w:val="00805BEB"/>
    <w:rsid w:val="00841B0F"/>
    <w:rsid w:val="00846A8F"/>
    <w:rsid w:val="00847D31"/>
    <w:rsid w:val="00847D72"/>
    <w:rsid w:val="008537FD"/>
    <w:rsid w:val="00854899"/>
    <w:rsid w:val="00865B0D"/>
    <w:rsid w:val="00875DB0"/>
    <w:rsid w:val="008776A1"/>
    <w:rsid w:val="00885D9E"/>
    <w:rsid w:val="00886FD5"/>
    <w:rsid w:val="008D7C01"/>
    <w:rsid w:val="008E34A8"/>
    <w:rsid w:val="00915B88"/>
    <w:rsid w:val="00920CDC"/>
    <w:rsid w:val="00931625"/>
    <w:rsid w:val="009359F0"/>
    <w:rsid w:val="0094190E"/>
    <w:rsid w:val="009677EB"/>
    <w:rsid w:val="00977CE3"/>
    <w:rsid w:val="009971D2"/>
    <w:rsid w:val="009B3AF5"/>
    <w:rsid w:val="009B5E24"/>
    <w:rsid w:val="009C5E07"/>
    <w:rsid w:val="009D1C63"/>
    <w:rsid w:val="009D33CD"/>
    <w:rsid w:val="00A1228E"/>
    <w:rsid w:val="00A12B74"/>
    <w:rsid w:val="00A42904"/>
    <w:rsid w:val="00A55024"/>
    <w:rsid w:val="00A64329"/>
    <w:rsid w:val="00A65A08"/>
    <w:rsid w:val="00A673A5"/>
    <w:rsid w:val="00AA09D0"/>
    <w:rsid w:val="00AA7436"/>
    <w:rsid w:val="00AB2245"/>
    <w:rsid w:val="00AC5661"/>
    <w:rsid w:val="00AD4834"/>
    <w:rsid w:val="00AD4C33"/>
    <w:rsid w:val="00AE1B47"/>
    <w:rsid w:val="00AE3D06"/>
    <w:rsid w:val="00AE42A3"/>
    <w:rsid w:val="00AF14E6"/>
    <w:rsid w:val="00B114C3"/>
    <w:rsid w:val="00B2055C"/>
    <w:rsid w:val="00B37DFC"/>
    <w:rsid w:val="00B415D8"/>
    <w:rsid w:val="00B4481F"/>
    <w:rsid w:val="00B46B7A"/>
    <w:rsid w:val="00B71115"/>
    <w:rsid w:val="00BA233C"/>
    <w:rsid w:val="00BA7EB7"/>
    <w:rsid w:val="00BB719D"/>
    <w:rsid w:val="00BB7BD1"/>
    <w:rsid w:val="00BC4BB3"/>
    <w:rsid w:val="00BC710B"/>
    <w:rsid w:val="00BE4210"/>
    <w:rsid w:val="00BF20D7"/>
    <w:rsid w:val="00C000B3"/>
    <w:rsid w:val="00C0159E"/>
    <w:rsid w:val="00C111FD"/>
    <w:rsid w:val="00C25513"/>
    <w:rsid w:val="00C41BE7"/>
    <w:rsid w:val="00C42B92"/>
    <w:rsid w:val="00C50BA9"/>
    <w:rsid w:val="00C54CCE"/>
    <w:rsid w:val="00C550F6"/>
    <w:rsid w:val="00C77B7E"/>
    <w:rsid w:val="00C81136"/>
    <w:rsid w:val="00C81C2F"/>
    <w:rsid w:val="00C833A9"/>
    <w:rsid w:val="00C84731"/>
    <w:rsid w:val="00C912E5"/>
    <w:rsid w:val="00CA0051"/>
    <w:rsid w:val="00CA248E"/>
    <w:rsid w:val="00CB1005"/>
    <w:rsid w:val="00CB1840"/>
    <w:rsid w:val="00CB4738"/>
    <w:rsid w:val="00CC0954"/>
    <w:rsid w:val="00CD4E42"/>
    <w:rsid w:val="00CF4C52"/>
    <w:rsid w:val="00D25FF3"/>
    <w:rsid w:val="00D34C1A"/>
    <w:rsid w:val="00D42054"/>
    <w:rsid w:val="00D423D5"/>
    <w:rsid w:val="00D60E2D"/>
    <w:rsid w:val="00D77602"/>
    <w:rsid w:val="00D96FA8"/>
    <w:rsid w:val="00DB58D6"/>
    <w:rsid w:val="00DC5D9E"/>
    <w:rsid w:val="00DC6548"/>
    <w:rsid w:val="00DD10BD"/>
    <w:rsid w:val="00DD115E"/>
    <w:rsid w:val="00DE047A"/>
    <w:rsid w:val="00DE5515"/>
    <w:rsid w:val="00DE6014"/>
    <w:rsid w:val="00DE7418"/>
    <w:rsid w:val="00DE78E4"/>
    <w:rsid w:val="00DF5220"/>
    <w:rsid w:val="00E105B5"/>
    <w:rsid w:val="00E10B49"/>
    <w:rsid w:val="00E402D9"/>
    <w:rsid w:val="00E43FB6"/>
    <w:rsid w:val="00E51AA5"/>
    <w:rsid w:val="00E607A6"/>
    <w:rsid w:val="00E62477"/>
    <w:rsid w:val="00E6563D"/>
    <w:rsid w:val="00E73297"/>
    <w:rsid w:val="00E775AD"/>
    <w:rsid w:val="00E777FE"/>
    <w:rsid w:val="00E921B2"/>
    <w:rsid w:val="00E97A99"/>
    <w:rsid w:val="00EA71F5"/>
    <w:rsid w:val="00EC29E9"/>
    <w:rsid w:val="00ED147E"/>
    <w:rsid w:val="00ED15AE"/>
    <w:rsid w:val="00EF097B"/>
    <w:rsid w:val="00EF7F98"/>
    <w:rsid w:val="00F01457"/>
    <w:rsid w:val="00F119BD"/>
    <w:rsid w:val="00F16542"/>
    <w:rsid w:val="00F16954"/>
    <w:rsid w:val="00F22609"/>
    <w:rsid w:val="00F42E85"/>
    <w:rsid w:val="00F450EC"/>
    <w:rsid w:val="00F5184C"/>
    <w:rsid w:val="00F60B54"/>
    <w:rsid w:val="00F61876"/>
    <w:rsid w:val="00F65588"/>
    <w:rsid w:val="00F706FC"/>
    <w:rsid w:val="00F71993"/>
    <w:rsid w:val="00F76735"/>
    <w:rsid w:val="00F83485"/>
    <w:rsid w:val="00F86AC2"/>
    <w:rsid w:val="00F9236C"/>
    <w:rsid w:val="00FA57C9"/>
    <w:rsid w:val="00FB34F9"/>
    <w:rsid w:val="00FB42AA"/>
    <w:rsid w:val="00FC3458"/>
    <w:rsid w:val="00FD265B"/>
    <w:rsid w:val="00FE1503"/>
    <w:rsid w:val="00FF4E45"/>
    <w:rsid w:val="00FF4F0C"/>
    <w:rsid w:val="0BC54467"/>
    <w:rsid w:val="3FFF8A61"/>
    <w:rsid w:val="57F8CA1D"/>
    <w:rsid w:val="5FAC0B70"/>
    <w:rsid w:val="6596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17"/>
    <w:qFormat/>
    <w:uiPriority w:val="9"/>
    <w:pPr>
      <w:keepNext/>
      <w:keepLines/>
      <w:adjustRightInd w:val="0"/>
      <w:snapToGrid w:val="0"/>
      <w:spacing w:line="240" w:lineRule="auto"/>
      <w:ind w:firstLine="640"/>
      <w:outlineLvl w:val="0"/>
    </w:pPr>
    <w:rPr>
      <w:rFonts w:ascii="黑体" w:eastAsia="黑体"/>
      <w:kern w:val="44"/>
      <w:szCs w:val="44"/>
    </w:rPr>
  </w:style>
  <w:style w:type="paragraph" w:styleId="3">
    <w:name w:val="heading 2"/>
    <w:basedOn w:val="1"/>
    <w:next w:val="1"/>
    <w:link w:val="18"/>
    <w:unhideWhenUsed/>
    <w:qFormat/>
    <w:uiPriority w:val="9"/>
    <w:pPr>
      <w:keepNext/>
      <w:keepLines/>
      <w:adjustRightInd w:val="0"/>
      <w:snapToGrid w:val="0"/>
      <w:spacing w:line="240" w:lineRule="auto"/>
      <w:ind w:firstLine="482" w:firstLineChars="150"/>
      <w:jc w:val="left"/>
      <w:outlineLvl w:val="1"/>
    </w:pPr>
    <w:rPr>
      <w:rFonts w:ascii="楷体_GB2312" w:eastAsia="楷体_GB2312" w:hAnsiTheme="majorHAnsi" w:cstheme="majorBidi"/>
      <w:b/>
      <w:bCs/>
      <w:color w:val="000000" w:themeColor="text1"/>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25"/>
    <w:semiHidden/>
    <w:unhideWhenUsed/>
    <w:qFormat/>
    <w:uiPriority w:val="99"/>
    <w:pPr>
      <w:ind w:left="100" w:leftChars="2500"/>
    </w:pPr>
  </w:style>
  <w:style w:type="paragraph" w:styleId="6">
    <w:name w:val="Balloon Text"/>
    <w:basedOn w:val="1"/>
    <w:link w:val="28"/>
    <w:semiHidden/>
    <w:unhideWhenUsed/>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0">
    <w:name w:val="Title"/>
    <w:basedOn w:val="1"/>
    <w:next w:val="1"/>
    <w:link w:val="16"/>
    <w:qFormat/>
    <w:uiPriority w:val="10"/>
    <w:pPr>
      <w:spacing w:before="100" w:beforeAutospacing="1" w:after="100" w:afterAutospacing="1" w:line="720" w:lineRule="exact"/>
      <w:ind w:firstLine="0" w:firstLineChars="0"/>
      <w:jc w:val="center"/>
      <w:outlineLvl w:val="0"/>
    </w:pPr>
    <w:rPr>
      <w:rFonts w:ascii="方正小标宋简体" w:eastAsia="方正小标宋简体" w:hAnsiTheme="majorHAnsi" w:cstheme="majorBidi"/>
      <w:bCs/>
      <w:sz w:val="44"/>
      <w:szCs w:val="32"/>
    </w:rPr>
  </w:style>
  <w:style w:type="paragraph" w:styleId="11">
    <w:name w:val="annotation subject"/>
    <w:basedOn w:val="4"/>
    <w:next w:val="4"/>
    <w:link w:val="23"/>
    <w:semiHidden/>
    <w:unhideWhenUsed/>
    <w:qFormat/>
    <w:uiPriority w:val="99"/>
    <w:rPr>
      <w:b/>
      <w:bCs/>
    </w:r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标题 字符"/>
    <w:basedOn w:val="13"/>
    <w:link w:val="10"/>
    <w:qFormat/>
    <w:uiPriority w:val="10"/>
    <w:rPr>
      <w:rFonts w:ascii="方正小标宋简体" w:eastAsia="方正小标宋简体" w:hAnsiTheme="majorHAnsi" w:cstheme="majorBidi"/>
      <w:bCs/>
      <w:sz w:val="44"/>
      <w:szCs w:val="32"/>
    </w:rPr>
  </w:style>
  <w:style w:type="character" w:customStyle="1" w:styleId="17">
    <w:name w:val="标题 1 字符"/>
    <w:basedOn w:val="13"/>
    <w:link w:val="2"/>
    <w:qFormat/>
    <w:uiPriority w:val="9"/>
    <w:rPr>
      <w:rFonts w:ascii="黑体" w:eastAsia="黑体"/>
      <w:kern w:val="44"/>
      <w:sz w:val="32"/>
      <w:szCs w:val="44"/>
    </w:rPr>
  </w:style>
  <w:style w:type="character" w:customStyle="1" w:styleId="18">
    <w:name w:val="标题 2 字符"/>
    <w:basedOn w:val="13"/>
    <w:link w:val="3"/>
    <w:qFormat/>
    <w:uiPriority w:val="9"/>
    <w:rPr>
      <w:rFonts w:ascii="楷体_GB2312" w:eastAsia="楷体_GB2312" w:hAnsiTheme="majorHAnsi" w:cstheme="majorBidi"/>
      <w:b/>
      <w:bCs/>
      <w:color w:val="000000" w:themeColor="text1"/>
      <w:sz w:val="32"/>
      <w:szCs w:val="32"/>
    </w:rPr>
  </w:style>
  <w:style w:type="character" w:customStyle="1" w:styleId="19">
    <w:name w:val="页眉 字符"/>
    <w:basedOn w:val="13"/>
    <w:link w:val="8"/>
    <w:qFormat/>
    <w:uiPriority w:val="99"/>
    <w:rPr>
      <w:rFonts w:ascii="仿宋_GB2312" w:eastAsia="仿宋_GB2312"/>
      <w:sz w:val="18"/>
      <w:szCs w:val="18"/>
    </w:rPr>
  </w:style>
  <w:style w:type="character" w:customStyle="1" w:styleId="20">
    <w:name w:val="页脚 字符"/>
    <w:basedOn w:val="13"/>
    <w:link w:val="7"/>
    <w:qFormat/>
    <w:uiPriority w:val="99"/>
    <w:rPr>
      <w:rFonts w:ascii="仿宋_GB2312" w:eastAsia="仿宋_GB2312"/>
      <w:sz w:val="18"/>
      <w:szCs w:val="18"/>
    </w:rPr>
  </w:style>
  <w:style w:type="paragraph" w:styleId="21">
    <w:name w:val="List Paragraph"/>
    <w:basedOn w:val="1"/>
    <w:qFormat/>
    <w:uiPriority w:val="34"/>
    <w:pPr>
      <w:ind w:firstLine="420"/>
    </w:pPr>
  </w:style>
  <w:style w:type="character" w:customStyle="1" w:styleId="22">
    <w:name w:val="批注文字 字符"/>
    <w:basedOn w:val="13"/>
    <w:link w:val="4"/>
    <w:semiHidden/>
    <w:qFormat/>
    <w:uiPriority w:val="99"/>
    <w:rPr>
      <w:rFonts w:ascii="仿宋_GB2312" w:eastAsia="仿宋_GB2312"/>
      <w:sz w:val="32"/>
    </w:rPr>
  </w:style>
  <w:style w:type="character" w:customStyle="1" w:styleId="23">
    <w:name w:val="批注主题 字符"/>
    <w:basedOn w:val="22"/>
    <w:link w:val="11"/>
    <w:semiHidden/>
    <w:qFormat/>
    <w:uiPriority w:val="99"/>
    <w:rPr>
      <w:rFonts w:ascii="仿宋_GB2312" w:eastAsia="仿宋_GB2312"/>
      <w:b/>
      <w:bCs/>
      <w:sz w:val="32"/>
    </w:rPr>
  </w:style>
  <w:style w:type="paragraph" w:customStyle="1" w:styleId="24">
    <w:name w:val="修订1"/>
    <w:hidden/>
    <w:semiHidden/>
    <w:qFormat/>
    <w:uiPriority w:val="99"/>
    <w:rPr>
      <w:rFonts w:ascii="仿宋_GB2312" w:eastAsia="仿宋_GB2312" w:hAnsiTheme="minorHAnsi" w:cstheme="minorBidi"/>
      <w:kern w:val="2"/>
      <w:sz w:val="32"/>
      <w:szCs w:val="22"/>
      <w:lang w:val="en-US" w:eastAsia="zh-CN" w:bidi="ar-SA"/>
    </w:rPr>
  </w:style>
  <w:style w:type="character" w:customStyle="1" w:styleId="25">
    <w:name w:val="日期 字符"/>
    <w:basedOn w:val="13"/>
    <w:link w:val="5"/>
    <w:semiHidden/>
    <w:qFormat/>
    <w:uiPriority w:val="99"/>
    <w:rPr>
      <w:rFonts w:ascii="仿宋_GB2312" w:eastAsia="仿宋_GB2312"/>
      <w:sz w:val="32"/>
    </w:rPr>
  </w:style>
  <w:style w:type="character" w:customStyle="1" w:styleId="26">
    <w:name w:val="article_title"/>
    <w:qFormat/>
    <w:uiPriority w:val="0"/>
  </w:style>
  <w:style w:type="paragraph" w:customStyle="1" w:styleId="27">
    <w:name w:val="样式1"/>
    <w:basedOn w:val="2"/>
    <w:qFormat/>
    <w:uiPriority w:val="0"/>
  </w:style>
  <w:style w:type="character" w:customStyle="1" w:styleId="28">
    <w:name w:val="批注框文本 字符"/>
    <w:basedOn w:val="13"/>
    <w:link w:val="6"/>
    <w:semiHidden/>
    <w:uiPriority w:val="99"/>
    <w:rPr>
      <w:rFonts w:ascii="仿宋_GB2312" w:eastAsia="仿宋_GB2312"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1141</Characters>
  <Lines>9</Lines>
  <Paragraphs>2</Paragraphs>
  <TotalTime>301</TotalTime>
  <ScaleCrop>false</ScaleCrop>
  <LinksUpToDate>false</LinksUpToDate>
  <CharactersWithSpaces>1339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2022-03-07T17:56:00Z</dcterms:created>
  <dc:creator>周诗俊</dc:creator>
  <cp:lastModifiedBy>牛苗</cp:lastModifiedBy>
  <cp:lastPrinted>2023-11-17T07:07:00Z</cp:lastPrinted>
  <dcterms:modified xsi:type="dcterms:W3CDTF">2023-12-05T07:36:09Z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F7DFE8D2A27E48D1952D94FE01229E5E_13</vt:lpwstr>
  </property>
</Properties>
</file>